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53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52.00000000000003" w:lineRule="auto"/>
        <w:ind w:left="229" w:right="467" w:firstLine="22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TIRADENTES</w:t>
      </w:r>
    </w:p>
    <w:p w:rsidR="00000000" w:rsidDel="00000000" w:rsidP="00000000" w:rsidRDefault="00000000" w:rsidRPr="00000000" w14:paraId="00000004">
      <w:pPr>
        <w:ind w:left="229" w:right="46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PÓS-GRADUAÇÃO, PESQUISA E EXTENSÃO COORDENAÇÃO DE PESQUISA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29" w:right="46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INSTITUCIONAL DE BOLSAS DE INICIAÇÃO CIENTÍFICA</w:t>
      </w:r>
    </w:p>
    <w:p w:rsidR="00000000" w:rsidDel="00000000" w:rsidP="00000000" w:rsidRDefault="00000000" w:rsidRPr="00000000" w14:paraId="00000007">
      <w:pPr>
        <w:spacing w:before="1" w:lineRule="auto"/>
        <w:ind w:left="229" w:right="47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 EM DESENVOLVIMENTO TECNOLÓGICO E INOVAÇÃO DA UNIVERSIDADE TIRADENTES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29" w:right="46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29" w:right="464" w:firstLine="0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PROBIC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5" w:right="1274" w:firstLine="1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Nº 1/202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RESULTADO DO PROCESSO DE SELEÇÃO PIBIC/PIBITI/CNPq - PROBIC/PROBITI/Unit - PROVIC/ PROVITI-Unit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Universidade Tiradentes, através da Pró-Reitoria de Pós-Graduação, Pesquisa e Extensão, divulga a comunidade científica e acadêmica, o cronograma, a documentação necessária e o resultado preliminar do processo de seleção de Projetos de Pesquisa em Iniciação Científica e Desenvolvimento Tecnológico e Inovação do Edital nº 1/202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PIBIC/PIBITI/CNPq - PROBIC/PROBITI/Unit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A listagem está ordenada por ordem alfabética pelo nome do Coordenador do projeto juntamente com a indicação da modalidade de bolsa de Iniciação Científica contemplada, bem como os projetos qualificados para adesão ao Programa de Iniciação Científica Voluntária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PROVIC-Unit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), distribuídos nas Áreas do Conhecimento (Desenvolvimento Tecnológico e Inovação, Ciências Exatas e da Terra e Engenharias, Ciências Humanas e Sociais Aplicadas e Ciências Biológicas e da Saúde), para vigência </w:t>
      </w:r>
      <w:r w:rsidDel="00000000" w:rsidR="00000000" w:rsidRPr="00000000">
        <w:rPr>
          <w:sz w:val="20"/>
          <w:szCs w:val="20"/>
          <w:rtl w:val="0"/>
        </w:rPr>
        <w:t xml:space="preserve">setembro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 </w:t>
      </w:r>
      <w:r w:rsidDel="00000000" w:rsidR="00000000" w:rsidRPr="00000000">
        <w:rPr>
          <w:sz w:val="20"/>
          <w:szCs w:val="20"/>
          <w:rtl w:val="0"/>
        </w:rPr>
        <w:t xml:space="preserve">agost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de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  <w:tab w:val="left" w:leader="none" w:pos="530"/>
        </w:tabs>
        <w:spacing w:after="0" w:before="0" w:line="240" w:lineRule="auto"/>
        <w:ind w:left="529" w:right="0" w:hanging="36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PROBIC- ciclo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1.0" w:type="dxa"/>
        <w:jc w:val="left"/>
        <w:tblInd w:w="203.0" w:type="dxa"/>
        <w:tblLayout w:type="fixed"/>
        <w:tblLook w:val="0000"/>
      </w:tblPr>
      <w:tblGrid>
        <w:gridCol w:w="4329"/>
        <w:gridCol w:w="4192"/>
        <w:tblGridChange w:id="0">
          <w:tblGrid>
            <w:gridCol w:w="4329"/>
            <w:gridCol w:w="4192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20" w:lineRule="auto"/>
              <w:ind w:left="12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DISCRIMINAÇÃO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29" w:lineRule="auto"/>
              <w:ind w:left="128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DATAS-LIMITE</w:t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9" w:line="242" w:lineRule="auto"/>
              <w:ind w:left="405" w:right="613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Cadastro dos documentos necessários para a inclusão do discente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Formulário eletrônico- item 2.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1" w:lineRule="auto"/>
              <w:ind w:left="1011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06 de setembro de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4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Reunião de Implementação das bolsas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15 de setembro de 2023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2" w:line="273" w:lineRule="auto"/>
              <w:ind w:left="4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Entrega dos pareceres aprovados – Item 3 (CEP/CEUA)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dia 01 de dezembro de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9"/>
          <w:tab w:val="left" w:leader="none" w:pos="530"/>
        </w:tabs>
        <w:ind w:left="529" w:hanging="361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 CADASTRO E DA DOCUMENTAÇÃO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02" w:right="333" w:firstLine="0"/>
        <w:jc w:val="both"/>
        <w:rPr>
          <w:color w:val="000000"/>
          <w:sz w:val="20"/>
          <w:szCs w:val="20"/>
        </w:rPr>
        <w:sectPr>
          <w:headerReference r:id="rId7" w:type="default"/>
          <w:headerReference r:id="rId8" w:type="first"/>
          <w:footerReference r:id="rId9" w:type="first"/>
          <w:pgSz w:h="16840" w:w="11910" w:orient="portrait"/>
          <w:pgMar w:bottom="280" w:top="1400" w:left="1600" w:right="1360" w:header="720" w:footer="720"/>
          <w:pgNumType w:start="1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cadastro da documentação do discente de graduação que participará do Programa de Iniciação Científica e Desenvolvimento Tecnológico e Inovação da Unit deverá ser feito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exclusivamente pelo(a) coordenador(a)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através do Formulário Eletrônico (Google Forms), de acordo com a área de conhecimento vinculada (tabela abaixo)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O(a) coordenador(a) deverá acessar o formulário, selecionar o projeto aprovado e cadastrar um discente de cada vez, no máximo </w:t>
      </w:r>
      <w:r w:rsidDel="00000000" w:rsidR="00000000" w:rsidRPr="00000000">
        <w:rPr>
          <w:sz w:val="20"/>
          <w:szCs w:val="20"/>
          <w:rtl w:val="0"/>
        </w:rPr>
        <w:t xml:space="preserve">três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discentes por projeto podem ser cadastrados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de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acordo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 com o plano de tr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abalho apresentado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considerando a modalidade aprovada, conforme item 6 do Edital.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2" w:right="338" w:firstLine="1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formulário deverá ser enviado até às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 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(vinte e três horas e cinquenta e nove minutos),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do dia </w:t>
      </w:r>
      <w:r w:rsidDel="00000000" w:rsidR="00000000" w:rsidRPr="00000000">
        <w:rPr>
          <w:u w:val="single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de setembro de 202</w:t>
      </w:r>
      <w:r w:rsidDel="00000000" w:rsidR="00000000" w:rsidRPr="00000000">
        <w:rPr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, conforme cronograma.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9" w:lineRule="auto"/>
        <w:ind w:left="102" w:right="33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Tabela 1: Endereços eletrônicos para acesso ao Formulário de cadastro do discente de acordo com a área de conhecimento vinculada do projeto aprovado.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9"/>
        <w:gridCol w:w="4247"/>
        <w:tblGridChange w:id="0">
          <w:tblGrid>
            <w:gridCol w:w="4249"/>
            <w:gridCol w:w="4247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8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Conhecimento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89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 para formulário eletrônico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24.72727272727272" w:lineRule="auto"/>
              <w:ind w:left="680" w:right="2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Ciências Biológicas e da Saúde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24.72727272727272" w:lineRule="auto"/>
              <w:ind w:left="120" w:right="160" w:firstLine="0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https://forms.gle/Z6HkBeqtQjwmAr6C8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24.72727272727272" w:lineRule="auto"/>
              <w:ind w:left="680" w:right="2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Ciências Humanas e Sociais Aplicadas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24.72727272727272" w:lineRule="auto"/>
              <w:ind w:left="460" w:firstLine="0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https://forms.gle/3f2jxAAidWCAaANv7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24.72727272727272" w:lineRule="auto"/>
              <w:ind w:left="680" w:right="2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Ciências Exatas e da Terra e Engenharias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24.72727272727272" w:lineRule="auto"/>
              <w:ind w:left="120" w:right="80" w:firstLine="0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https://forms.gle/ZbL6RtkFUAXeaHaT7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24.72727272727272" w:lineRule="auto"/>
              <w:ind w:left="680" w:right="2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Desenvolvimento Tecnológico e Inovação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24.72727272727272" w:lineRule="auto"/>
              <w:ind w:left="120" w:right="140" w:firstLine="0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https://forms.gle/f9ofFpeBXE2hKJyT8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ff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inclusão do discente nas modalidades do Programa de Iniciação Científica e Desenvolvimento Tecnológico e Inovação (PROBIC) depende das especificidades de cada agência de fomento, descritas no quadro abaixo: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5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3.0" w:type="dxa"/>
        <w:jc w:val="left"/>
        <w:tblInd w:w="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1336"/>
        <w:gridCol w:w="5184"/>
        <w:tblGridChange w:id="0">
          <w:tblGrid>
            <w:gridCol w:w="2093"/>
            <w:gridCol w:w="1336"/>
            <w:gridCol w:w="5184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13" w:right="105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Modalidade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202" w:right="195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Concessão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64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Documentos exigidos*</w:t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PIBIC ou PIBITI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2" w:right="19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CNPq</w:t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1082" w:hanging="358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Comprovante de matrícula semestral (202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.2) na Universidade Tiradentes (Horário do aluno);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6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Atestado de consulta sub-júdice (solicitar via Magister);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7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Histórico acadêmico atualizado (disponível no Magister);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402" w:hanging="358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Comprovação dos dados da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conta corrente individual do BANCO DO BRASIL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before="37" w:line="206" w:lineRule="auto"/>
              <w:ind w:left="567" w:right="113" w:hanging="358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Declaração de não vínculo empregatício (disponível na página da Pesquisa/Unit em ‘Declarações’).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3" w:right="104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PROBIC ou PROBITI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1" w:right="19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1082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Comprovante de matrícula semestral (202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.2) na Universidade Tiradentes (Horário do aluno);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6" w:lineRule="auto"/>
              <w:ind w:left="567" w:hanging="36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Atestado de consulta sub-júdice (solicitar via Magister);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7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Histórico acadêmico atualizado (disponível no Magister);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Comprovação dos dados da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conta corrente ou poupança individual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before="21" w:line="206" w:lineRule="auto"/>
              <w:ind w:left="567" w:right="113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Declaração de não vínculo empregatício (disponível na página da Pesquisa/Unit em ‘Declarações’).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0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PROVIC ou PROVITI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1" w:right="19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866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Comprovante de matrícula semestral na (202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.2) na Universidade Tiradentes (Horário do aluno);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6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Atestado de consulta sub-júdice (solicitar via Magister);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193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Histórico acadêmico atualizado (disponível no Magister);</w:t>
            </w:r>
          </w:p>
        </w:tc>
      </w:tr>
    </w:tbl>
    <w:p w:rsidR="00000000" w:rsidDel="00000000" w:rsidP="00000000" w:rsidRDefault="00000000" w:rsidRPr="00000000" w14:paraId="00000056">
      <w:pPr>
        <w:ind w:left="169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Estes documentos devem ser inseridos no cadastro do discente.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Observação 1: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Todos os discentes (bolsistas ou voluntários) e coordenadores vinculados aos projetos aprovados neste Edital receberão o Termo de Compromisso do Programa de Iniciação Científica da Universidade Tiradentes (PROBIC) por e-mail, com as devidas instruções para o processo de anuência deste Termo.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Observação 2:</w:t>
      </w:r>
      <w:r w:rsidDel="00000000" w:rsidR="00000000" w:rsidRPr="00000000">
        <w:rPr>
          <w:sz w:val="20"/>
          <w:szCs w:val="20"/>
          <w:rtl w:val="0"/>
        </w:rPr>
        <w:t xml:space="preserve"> Os discentes do Ensino Médio para os Programas PIBIC-EM/CNPq, PROBEM/Unit e PROVEM/Unit, serão selecionados pelas escolas participantes em cronograma específico. Os coordenadores dos projetos contemplados serão contatados pela Coordenação de pesquisa por e-mail.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0" w:line="240" w:lineRule="auto"/>
        <w:ind w:left="822" w:right="0" w:hanging="36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GERAIS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41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partir do dia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15/09/2023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todos os projetos contemplados com bolsa que não tiverem o(s) discente(s) cadastrado(s) serão automaticamente cancelados e a referida bolsa poderá ser transferida para o próximo projeto de pesquisa aprovado de acordo com a classificação por mérito na mesma área de conhecimento.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Projetos que necessitam de aprovação no Comitê de Ética em Pesquisa (CEP) e Comitê de Ética no Uso de Animais (CEUA) deverão apresentar o protocolo de aprovação até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01/12/2023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sob pena de cancelamento do projeto. Caso este projeto tenha sido contemplado com bolsa, esta poderá ser transferida para o outro projeto de pesquisa, cabe a Coordenação de Pesquisa encaminhar ao Comitê Científico para deliberação.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 avaliações internas e externas dos projetos de pesquisa submetidos neste Edital podem ser disponibilizadas mediante solicitação do Coordenador (proponente) à Coordenação de Pesquisa através do e-mail </w:t>
      </w: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pesquisa@unit.br</w:t>
        </w:r>
      </w:hyperlink>
      <w:hyperlink r:id="rId15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Para informações e esclarecimentos adicionais, consultar a página da Pesquisa (</w:t>
      </w:r>
      <w:hyperlink r:id="rId1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https://portal.unit.br/pesquisa/iniciacao-cientifica/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) ou contatar a Coordenação de Pesquisa pelo e-mail </w:t>
      </w:r>
      <w:hyperlink r:id="rId1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pesquisa@unit.br</w:t>
        </w:r>
      </w:hyperlink>
      <w:hyperlink r:id="rId18"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102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Aracaju, 2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 agosto de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963" w:right="2987.2440944881896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Profa. Dra. Adriana Karla de </w:t>
      </w: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ima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963" w:right="3203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Coordenadora de Pesquisa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7" w:line="229" w:lineRule="auto"/>
        <w:ind w:left="229" w:right="465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Prof. Dr. </w:t>
      </w: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Ronaldo Nunes Linhares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left="229" w:right="469" w:firstLine="0"/>
        <w:jc w:val="center"/>
        <w:rPr>
          <w:color w:val="000000"/>
          <w:sz w:val="20"/>
          <w:szCs w:val="20"/>
        </w:rPr>
        <w:sectPr>
          <w:type w:val="nextPage"/>
          <w:pgSz w:h="16840" w:w="11910" w:orient="portrait"/>
          <w:pgMar w:bottom="280" w:top="1580" w:left="1600" w:right="1360" w:header="720" w:footer="720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Pró-Reitoria de Pós-Graduação, Pesquisa e Extensão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headerReference r:id="rId20" w:type="first"/>
      <w:type w:val="nextPage"/>
      <w:pgSz w:h="11910" w:w="16840" w:orient="landscape"/>
      <w:pgMar w:bottom="280" w:top="720" w:left="1500" w:right="12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47900" cy="390525"/>
          <wp:effectExtent b="0" l="0" r="0" t="0"/>
          <wp:docPr id="59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29" w:hanging="360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362" w:hanging="360.00000000000057"/>
      </w:pPr>
      <w:rPr/>
    </w:lvl>
    <w:lvl w:ilvl="2">
      <w:start w:val="1"/>
      <w:numFmt w:val="bullet"/>
      <w:lvlText w:val="•"/>
      <w:lvlJc w:val="left"/>
      <w:pPr>
        <w:ind w:left="2205" w:hanging="360"/>
      </w:pPr>
      <w:rPr/>
    </w:lvl>
    <w:lvl w:ilvl="3">
      <w:start w:val="1"/>
      <w:numFmt w:val="bullet"/>
      <w:lvlText w:val="•"/>
      <w:lvlJc w:val="left"/>
      <w:pPr>
        <w:ind w:left="3047" w:hanging="360"/>
      </w:pPr>
      <w:rPr/>
    </w:lvl>
    <w:lvl w:ilvl="4">
      <w:start w:val="1"/>
      <w:numFmt w:val="bullet"/>
      <w:lvlText w:val="•"/>
      <w:lvlJc w:val="left"/>
      <w:pPr>
        <w:ind w:left="3890" w:hanging="360"/>
      </w:pPr>
      <w:rPr/>
    </w:lvl>
    <w:lvl w:ilvl="5">
      <w:start w:val="1"/>
      <w:numFmt w:val="bullet"/>
      <w:lvlText w:val="•"/>
      <w:lvlJc w:val="left"/>
      <w:pPr>
        <w:ind w:left="4733" w:hanging="360"/>
      </w:pPr>
      <w:rPr/>
    </w:lvl>
    <w:lvl w:ilvl="6">
      <w:start w:val="1"/>
      <w:numFmt w:val="bullet"/>
      <w:lvlText w:val="•"/>
      <w:lvlJc w:val="left"/>
      <w:pPr>
        <w:ind w:left="5575" w:hanging="360"/>
      </w:pPr>
      <w:rPr/>
    </w:lvl>
    <w:lvl w:ilvl="7">
      <w:start w:val="1"/>
      <w:numFmt w:val="bullet"/>
      <w:lvlText w:val="•"/>
      <w:lvlJc w:val="left"/>
      <w:pPr>
        <w:ind w:left="6418" w:hanging="360"/>
      </w:pPr>
      <w:rPr/>
    </w:lvl>
    <w:lvl w:ilvl="8">
      <w:start w:val="1"/>
      <w:numFmt w:val="bullet"/>
      <w:lvlText w:val="•"/>
      <w:lvlJc w:val="left"/>
      <w:pPr>
        <w:ind w:left="7261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567" w:hanging="360"/>
      </w:pPr>
      <w:rPr>
        <w:rFonts w:ascii="Times New Roman" w:cs="Times New Roman" w:eastAsia="Times New Roman" w:hAnsi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021" w:hanging="360"/>
      </w:pPr>
      <w:rPr/>
    </w:lvl>
    <w:lvl w:ilvl="2">
      <w:start w:val="1"/>
      <w:numFmt w:val="bullet"/>
      <w:lvlText w:val="•"/>
      <w:lvlJc w:val="left"/>
      <w:pPr>
        <w:ind w:left="1482" w:hanging="360"/>
      </w:pPr>
      <w:rPr/>
    </w:lvl>
    <w:lvl w:ilvl="3">
      <w:start w:val="1"/>
      <w:numFmt w:val="bullet"/>
      <w:lvlText w:val="•"/>
      <w:lvlJc w:val="left"/>
      <w:pPr>
        <w:ind w:left="1944" w:hanging="360"/>
      </w:pPr>
      <w:rPr/>
    </w:lvl>
    <w:lvl w:ilvl="4">
      <w:start w:val="1"/>
      <w:numFmt w:val="bullet"/>
      <w:lvlText w:val="•"/>
      <w:lvlJc w:val="left"/>
      <w:pPr>
        <w:ind w:left="2405" w:hanging="360"/>
      </w:pPr>
      <w:rPr/>
    </w:lvl>
    <w:lvl w:ilvl="5">
      <w:start w:val="1"/>
      <w:numFmt w:val="bullet"/>
      <w:lvlText w:val="•"/>
      <w:lvlJc w:val="left"/>
      <w:pPr>
        <w:ind w:left="2867" w:hanging="360"/>
      </w:pPr>
      <w:rPr/>
    </w:lvl>
    <w:lvl w:ilvl="6">
      <w:start w:val="1"/>
      <w:numFmt w:val="bullet"/>
      <w:lvlText w:val="•"/>
      <w:lvlJc w:val="left"/>
      <w:pPr>
        <w:ind w:left="3328" w:hanging="360"/>
      </w:pPr>
      <w:rPr/>
    </w:lvl>
    <w:lvl w:ilvl="7">
      <w:start w:val="1"/>
      <w:numFmt w:val="bullet"/>
      <w:lvlText w:val="•"/>
      <w:lvlJc w:val="left"/>
      <w:pPr>
        <w:ind w:left="3789" w:hanging="360"/>
      </w:pPr>
      <w:rPr/>
    </w:lvl>
    <w:lvl w:ilvl="8">
      <w:start w:val="1"/>
      <w:numFmt w:val="bullet"/>
      <w:lvlText w:val="•"/>
      <w:lvlJc w:val="left"/>
      <w:pPr>
        <w:ind w:left="4251" w:hanging="36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567" w:hanging="360"/>
      </w:pPr>
      <w:rPr/>
    </w:lvl>
    <w:lvl w:ilvl="1">
      <w:start w:val="1"/>
      <w:numFmt w:val="bullet"/>
      <w:lvlText w:val="•"/>
      <w:lvlJc w:val="left"/>
      <w:pPr>
        <w:ind w:left="1021" w:hanging="360"/>
      </w:pPr>
      <w:rPr/>
    </w:lvl>
    <w:lvl w:ilvl="2">
      <w:start w:val="1"/>
      <w:numFmt w:val="bullet"/>
      <w:lvlText w:val="•"/>
      <w:lvlJc w:val="left"/>
      <w:pPr>
        <w:ind w:left="1482" w:hanging="360"/>
      </w:pPr>
      <w:rPr/>
    </w:lvl>
    <w:lvl w:ilvl="3">
      <w:start w:val="1"/>
      <w:numFmt w:val="bullet"/>
      <w:lvlText w:val="•"/>
      <w:lvlJc w:val="left"/>
      <w:pPr>
        <w:ind w:left="1944" w:hanging="360"/>
      </w:pPr>
      <w:rPr/>
    </w:lvl>
    <w:lvl w:ilvl="4">
      <w:start w:val="1"/>
      <w:numFmt w:val="bullet"/>
      <w:lvlText w:val="•"/>
      <w:lvlJc w:val="left"/>
      <w:pPr>
        <w:ind w:left="2405" w:hanging="360"/>
      </w:pPr>
      <w:rPr/>
    </w:lvl>
    <w:lvl w:ilvl="5">
      <w:start w:val="1"/>
      <w:numFmt w:val="bullet"/>
      <w:lvlText w:val="•"/>
      <w:lvlJc w:val="left"/>
      <w:pPr>
        <w:ind w:left="2867" w:hanging="360"/>
      </w:pPr>
      <w:rPr/>
    </w:lvl>
    <w:lvl w:ilvl="6">
      <w:start w:val="1"/>
      <w:numFmt w:val="bullet"/>
      <w:lvlText w:val="•"/>
      <w:lvlJc w:val="left"/>
      <w:pPr>
        <w:ind w:left="3328" w:hanging="360"/>
      </w:pPr>
      <w:rPr/>
    </w:lvl>
    <w:lvl w:ilvl="7">
      <w:start w:val="1"/>
      <w:numFmt w:val="bullet"/>
      <w:lvlText w:val="•"/>
      <w:lvlJc w:val="left"/>
      <w:pPr>
        <w:ind w:left="3789" w:hanging="360"/>
      </w:pPr>
      <w:rPr/>
    </w:lvl>
    <w:lvl w:ilvl="8">
      <w:start w:val="1"/>
      <w:numFmt w:val="bullet"/>
      <w:lvlText w:val="•"/>
      <w:lvlJc w:val="left"/>
      <w:pPr>
        <w:ind w:left="4251" w:hanging="36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567" w:hanging="357"/>
      </w:pPr>
      <w:rPr/>
    </w:lvl>
    <w:lvl w:ilvl="1">
      <w:start w:val="1"/>
      <w:numFmt w:val="bullet"/>
      <w:lvlText w:val="•"/>
      <w:lvlJc w:val="left"/>
      <w:pPr>
        <w:ind w:left="1021" w:hanging="358"/>
      </w:pPr>
      <w:rPr/>
    </w:lvl>
    <w:lvl w:ilvl="2">
      <w:start w:val="1"/>
      <w:numFmt w:val="bullet"/>
      <w:lvlText w:val="•"/>
      <w:lvlJc w:val="left"/>
      <w:pPr>
        <w:ind w:left="1482" w:hanging="358"/>
      </w:pPr>
      <w:rPr/>
    </w:lvl>
    <w:lvl w:ilvl="3">
      <w:start w:val="1"/>
      <w:numFmt w:val="bullet"/>
      <w:lvlText w:val="•"/>
      <w:lvlJc w:val="left"/>
      <w:pPr>
        <w:ind w:left="1944" w:hanging="357"/>
      </w:pPr>
      <w:rPr/>
    </w:lvl>
    <w:lvl w:ilvl="4">
      <w:start w:val="1"/>
      <w:numFmt w:val="bullet"/>
      <w:lvlText w:val="•"/>
      <w:lvlJc w:val="left"/>
      <w:pPr>
        <w:ind w:left="2405" w:hanging="358"/>
      </w:pPr>
      <w:rPr/>
    </w:lvl>
    <w:lvl w:ilvl="5">
      <w:start w:val="1"/>
      <w:numFmt w:val="bullet"/>
      <w:lvlText w:val="•"/>
      <w:lvlJc w:val="left"/>
      <w:pPr>
        <w:ind w:left="2867" w:hanging="358"/>
      </w:pPr>
      <w:rPr/>
    </w:lvl>
    <w:lvl w:ilvl="6">
      <w:start w:val="1"/>
      <w:numFmt w:val="bullet"/>
      <w:lvlText w:val="•"/>
      <w:lvlJc w:val="left"/>
      <w:pPr>
        <w:ind w:left="3328" w:hanging="358"/>
      </w:pPr>
      <w:rPr/>
    </w:lvl>
    <w:lvl w:ilvl="7">
      <w:start w:val="1"/>
      <w:numFmt w:val="bullet"/>
      <w:lvlText w:val="•"/>
      <w:lvlJc w:val="left"/>
      <w:pPr>
        <w:ind w:left="3789" w:hanging="358.0000000000009"/>
      </w:pPr>
      <w:rPr/>
    </w:lvl>
    <w:lvl w:ilvl="8">
      <w:start w:val="1"/>
      <w:numFmt w:val="bullet"/>
      <w:lvlText w:val="•"/>
      <w:lvlJc w:val="left"/>
      <w:pPr>
        <w:ind w:left="4251" w:hanging="35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9" w:right="2848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102" w:right="338"/>
      <w:jc w:val="center"/>
    </w:pPr>
    <w:rPr/>
  </w:style>
  <w:style w:type="paragraph" w:styleId="Heading3">
    <w:name w:val="heading 3"/>
    <w:basedOn w:val="Normal"/>
    <w:next w:val="Normal"/>
    <w:pPr>
      <w:ind w:left="529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9" w:right="2848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102" w:right="338"/>
      <w:jc w:val="center"/>
    </w:pPr>
    <w:rPr/>
  </w:style>
  <w:style w:type="paragraph" w:styleId="Heading3">
    <w:name w:val="heading 3"/>
    <w:basedOn w:val="Normal"/>
    <w:next w:val="Normal"/>
    <w:pPr>
      <w:ind w:left="529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9" w:right="2848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102" w:right="338"/>
      <w:jc w:val="center"/>
    </w:pPr>
    <w:rPr/>
  </w:style>
  <w:style w:type="paragraph" w:styleId="Heading3">
    <w:name w:val="heading 3"/>
    <w:basedOn w:val="Normal"/>
    <w:next w:val="Normal"/>
    <w:pPr>
      <w:ind w:left="529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9" w:right="2848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102" w:right="338"/>
      <w:jc w:val="center"/>
    </w:pPr>
    <w:rPr/>
  </w:style>
  <w:style w:type="paragraph" w:styleId="Heading3">
    <w:name w:val="heading 3"/>
    <w:basedOn w:val="Normal"/>
    <w:next w:val="Normal"/>
    <w:pPr>
      <w:ind w:left="529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229" w:right="2848"/>
      <w:jc w:val="center"/>
      <w:outlineLvl w:val="0"/>
    </w:pPr>
    <w:rPr>
      <w:b w:val="1"/>
    </w:rPr>
  </w:style>
  <w:style w:type="paragraph" w:styleId="Ttulo2">
    <w:name w:val="heading 2"/>
    <w:basedOn w:val="Normal"/>
    <w:next w:val="Normal"/>
    <w:pPr>
      <w:ind w:left="102" w:right="338"/>
      <w:jc w:val="center"/>
      <w:outlineLvl w:val="1"/>
    </w:pPr>
  </w:style>
  <w:style w:type="paragraph" w:styleId="Ttulo3">
    <w:name w:val="heading 3"/>
    <w:basedOn w:val="Normal"/>
    <w:next w:val="Normal"/>
    <w:pPr>
      <w:ind w:left="529" w:hanging="361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E773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hyperlink" Target="https://forms.gle/3f2jxAAidWCAaANv7" TargetMode="External"/><Relationship Id="rId10" Type="http://schemas.openxmlformats.org/officeDocument/2006/relationships/hyperlink" Target="https://forms.gle/Z6HkBeqtQjwmAr6C8" TargetMode="External"/><Relationship Id="rId13" Type="http://schemas.openxmlformats.org/officeDocument/2006/relationships/hyperlink" Target="https://forms.gle/f9ofFpeBXE2hKJyT8" TargetMode="External"/><Relationship Id="rId12" Type="http://schemas.openxmlformats.org/officeDocument/2006/relationships/hyperlink" Target="https://forms.gle/ZbL6RtkFUAXeaHaT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yperlink" Target="mailto:pesquisa@unit.br" TargetMode="External"/><Relationship Id="rId14" Type="http://schemas.openxmlformats.org/officeDocument/2006/relationships/hyperlink" Target="mailto:pesquisa@unit.br" TargetMode="External"/><Relationship Id="rId17" Type="http://schemas.openxmlformats.org/officeDocument/2006/relationships/hyperlink" Target="mailto:pesquisa@unit.br" TargetMode="External"/><Relationship Id="rId16" Type="http://schemas.openxmlformats.org/officeDocument/2006/relationships/hyperlink" Target="https://portal.unit.br/pesquisa/iniciacao-cientifica/" TargetMode="External"/><Relationship Id="rId5" Type="http://schemas.openxmlformats.org/officeDocument/2006/relationships/styles" Target="styles.xml"/><Relationship Id="rId19" Type="http://schemas.openxmlformats.org/officeDocument/2006/relationships/hyperlink" Target="mailto:ronaldo_linhares@unit.br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pesquisa@unit.b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L6g8YeYCDhyZNSbjihhaxm/fLQ==">CgMxLjA4AHIhMS1vT1NVZmxqSHpZa0JfZEgxYzgxcWVla3FDVEZibllD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2021-08-22T21:11:00Z</dcterms:created>
</cp:coreProperties>
</file>